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lofty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 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11.5%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S&amp;P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10.8%.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endeavor.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tidbits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foreseeable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front-runners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favorably.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rigorously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0"/>
      <w:footerReference w:type="default" r:id="rId11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Insights189_Audio (Completed  02/07/24)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07,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shared/3eJBwxS_u6kY5q7AgJ4EMg_O-TZkJI4l6fTAQi7jQ3iN3y10PlrsAN-6V_Vys3fMhBhr3-RodVAcwPFzO-QHRgYmx2A?loadFrom=DocumentDeeplink&amp;ts=5.1" TargetMode="External" /><Relationship Id="rId5" Type="http://schemas.openxmlformats.org/officeDocument/2006/relationships/hyperlink" Target="https://www.rev.com/transcript-editor/shared/zNExdbC0wpEq94pPhz4DZQWApNDy1v9SQNK1z4Jqeiqd8bUAK6ICqKUu17SCqj9mGEd0tmI8P2VM0C-c-aElFjUd4Hk?loadFrom=DocumentDeeplink&amp;ts=81" TargetMode="External" /><Relationship Id="rId6" Type="http://schemas.openxmlformats.org/officeDocument/2006/relationships/hyperlink" Target="https://www.rev.com/transcript-editor/shared/XwICC1xlWB_09jwMdRBbTRmpOT0Fpt9ocG7grc2xNgW71V7uM_3PgVFbgc86tv7mnNc9VMgiQiEnl_qshsXVg6T62tw?loadFrom=DocumentDeeplink&amp;ts=107.79" TargetMode="External" /><Relationship Id="rId7" Type="http://schemas.openxmlformats.org/officeDocument/2006/relationships/hyperlink" Target="https://www.rev.com/transcript-editor/shared/fGF-2HlfymxbarcsjT5YJ3aqzbu9gn3nsEM93PDmBUAFSSA5A-73bEIzHc4giXSltTYYSllpAhH2Ndeook2GeMC5IZw?loadFrom=DocumentDeeplink&amp;ts=173.13" TargetMode="External" /><Relationship Id="rId8" Type="http://schemas.openxmlformats.org/officeDocument/2006/relationships/hyperlink" Target="https://www.rev.com/transcript-editor/shared/pqTbP_pKjGJWkRZDe9OfLmb5dvodeoq9ud_oSV1VdQhVzyIimX6PjTkMw3XBHYjDHM-i-WIbzOCrYNBosBetA771Fqo?loadFrom=DocumentDeeplink&amp;ts=231.66" TargetMode="External" /><Relationship Id="rId9" Type="http://schemas.openxmlformats.org/officeDocument/2006/relationships/hyperlink" Target="https://www.rev.com/transcript-editor/shared/ku5ucfrO8nxCRny2no0Izl-R3oxrvHt1qF2Y1_PxedhaiYN-t80zE249YNXCJ__JGO059M3jASmH-co1QTEy6ucMemQ?loadFrom=DocumentDeeplink&amp;ts=284.22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zhxoJHjlaz9ndjdMdT52reluxudAb93PqOhf4tHf9zmfRtQdUFjoLkjhaAofFYWvVOuUa8_IoHPEuDGDl-6f8qJQG0s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